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1652B6" w:rsidP="001652B6">
      <w:pPr>
        <w:autoSpaceDE w:val="0"/>
        <w:autoSpaceDN w:val="0"/>
        <w:adjustRightInd w:val="0"/>
        <w:spacing w:after="480"/>
        <w:ind w:left="5387"/>
        <w:rPr>
          <w:rFonts w:ascii="Times New Roman" w:hAnsi="Times New Roman"/>
          <w:sz w:val="28"/>
          <w:szCs w:val="28"/>
        </w:rPr>
      </w:pPr>
      <w:r w:rsidRPr="00163EED">
        <w:rPr>
          <w:rFonts w:ascii="Times New Roman" w:hAnsi="Times New Roman"/>
          <w:sz w:val="28"/>
          <w:szCs w:val="28"/>
        </w:rPr>
        <w:t xml:space="preserve">от </w:t>
      </w:r>
      <w:r w:rsidR="002C5905">
        <w:rPr>
          <w:rFonts w:ascii="Times New Roman" w:hAnsi="Times New Roman"/>
          <w:sz w:val="28"/>
          <w:szCs w:val="28"/>
        </w:rPr>
        <w:t xml:space="preserve">21.11.2018    </w:t>
      </w:r>
      <w:r w:rsidRPr="00163EED">
        <w:rPr>
          <w:rFonts w:ascii="Times New Roman" w:hAnsi="Times New Roman"/>
          <w:sz w:val="28"/>
          <w:szCs w:val="28"/>
        </w:rPr>
        <w:t>№</w:t>
      </w:r>
      <w:r w:rsidR="002C5905">
        <w:rPr>
          <w:rFonts w:ascii="Times New Roman" w:hAnsi="Times New Roman"/>
          <w:sz w:val="28"/>
          <w:szCs w:val="28"/>
        </w:rPr>
        <w:t xml:space="preserve"> 549-П</w:t>
      </w:r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9C7C44" w:rsidRPr="00630B8F" w:rsidRDefault="001652B6" w:rsidP="009C7C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 местным</w:t>
      </w:r>
    </w:p>
    <w:p w:rsidR="001652B6" w:rsidRPr="00D601F5" w:rsidRDefault="001652B6" w:rsidP="009C7C44">
      <w:pPr>
        <w:pStyle w:val="ConsPlusTitle"/>
        <w:widowControl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9C7C4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стимулирование прироста </w:t>
      </w:r>
      <w:r>
        <w:rPr>
          <w:rFonts w:ascii="Times New Roman" w:hAnsi="Times New Roman" w:cs="Times New Roman"/>
          <w:sz w:val="28"/>
          <w:szCs w:val="28"/>
        </w:rPr>
        <w:br/>
        <w:t>налоговых поступлений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иных межбюджетных трансфертов местным бюджетам </w:t>
      </w:r>
      <w:r w:rsidR="009C7C44">
        <w:rPr>
          <w:rFonts w:ascii="Times New Roman" w:hAnsi="Times New Roman"/>
          <w:sz w:val="28"/>
          <w:szCs w:val="28"/>
        </w:rPr>
        <w:t>из област</w:t>
      </w:r>
      <w:bookmarkStart w:id="0" w:name="_GoBack"/>
      <w:bookmarkEnd w:id="0"/>
      <w:r w:rsidR="009C7C44">
        <w:rPr>
          <w:rFonts w:ascii="Times New Roman" w:hAnsi="Times New Roman"/>
          <w:sz w:val="28"/>
          <w:szCs w:val="28"/>
        </w:rPr>
        <w:t xml:space="preserve">ного бюджета </w:t>
      </w:r>
      <w:r w:rsidRPr="00754697">
        <w:rPr>
          <w:rFonts w:ascii="Times New Roman" w:hAnsi="Times New Roman"/>
          <w:sz w:val="28"/>
          <w:szCs w:val="28"/>
        </w:rPr>
        <w:t xml:space="preserve">на стимулирование прироста налоговых поступлений устанавливает правила распределения </w:t>
      </w:r>
      <w:r w:rsidR="00A7070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437B65">
        <w:rPr>
          <w:rFonts w:ascii="Times New Roman" w:hAnsi="Times New Roman"/>
          <w:sz w:val="28"/>
          <w:szCs w:val="28"/>
        </w:rPr>
        <w:t xml:space="preserve">бюджетам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r w:rsidR="00437B65" w:rsidRPr="00754697">
        <w:rPr>
          <w:rFonts w:ascii="Times New Roman" w:hAnsi="Times New Roman"/>
          <w:sz w:val="28"/>
          <w:szCs w:val="28"/>
        </w:rPr>
        <w:t xml:space="preserve"> 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 xml:space="preserve">ов Кировской </w:t>
      </w:r>
      <w:r w:rsidR="00437B65" w:rsidRPr="005A12E6">
        <w:rPr>
          <w:rFonts w:ascii="Times New Roman" w:hAnsi="Times New Roman"/>
          <w:sz w:val="28"/>
          <w:szCs w:val="28"/>
        </w:rPr>
        <w:t xml:space="preserve">области </w:t>
      </w:r>
      <w:r w:rsidRPr="005A12E6">
        <w:rPr>
          <w:rFonts w:ascii="Times New Roman" w:hAnsi="Times New Roman"/>
          <w:sz w:val="28"/>
          <w:szCs w:val="28"/>
        </w:rPr>
        <w:t>иных межбюджетных</w:t>
      </w:r>
      <w:r w:rsidRPr="00754697">
        <w:rPr>
          <w:rFonts w:ascii="Times New Roman" w:hAnsi="Times New Roman"/>
          <w:sz w:val="28"/>
          <w:szCs w:val="28"/>
        </w:rPr>
        <w:t xml:space="preserve"> трансфертов </w:t>
      </w:r>
      <w:r w:rsidR="00C354ED">
        <w:rPr>
          <w:rFonts w:ascii="Times New Roman" w:hAnsi="Times New Roman"/>
          <w:sz w:val="28"/>
          <w:szCs w:val="28"/>
        </w:rPr>
        <w:t>на стимулирование прироста налоговых поступлений (далее – ин</w:t>
      </w:r>
      <w:r w:rsidR="009C7C44">
        <w:rPr>
          <w:rFonts w:ascii="Times New Roman" w:hAnsi="Times New Roman"/>
          <w:sz w:val="28"/>
          <w:szCs w:val="28"/>
        </w:rPr>
        <w:t>ой</w:t>
      </w:r>
      <w:r w:rsidR="00C354ED">
        <w:rPr>
          <w:rFonts w:ascii="Times New Roman" w:hAnsi="Times New Roman"/>
          <w:sz w:val="28"/>
          <w:szCs w:val="28"/>
        </w:rPr>
        <w:t xml:space="preserve"> межбюджетны</w:t>
      </w:r>
      <w:r w:rsidR="009C7C44">
        <w:rPr>
          <w:rFonts w:ascii="Times New Roman" w:hAnsi="Times New Roman"/>
          <w:sz w:val="28"/>
          <w:szCs w:val="28"/>
        </w:rPr>
        <w:t>й</w:t>
      </w:r>
      <w:r w:rsidR="00C354ED">
        <w:rPr>
          <w:rFonts w:ascii="Times New Roman" w:hAnsi="Times New Roman"/>
          <w:sz w:val="28"/>
          <w:szCs w:val="28"/>
        </w:rPr>
        <w:t xml:space="preserve"> трансферт)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71006">
        <w:rPr>
          <w:rFonts w:ascii="Times New Roman" w:hAnsi="Times New Roman"/>
          <w:sz w:val="28"/>
          <w:szCs w:val="28"/>
        </w:rPr>
        <w:t xml:space="preserve">В </w:t>
      </w:r>
      <w:r w:rsidR="00D27E0D">
        <w:rPr>
          <w:rFonts w:ascii="Times New Roman" w:hAnsi="Times New Roman"/>
          <w:sz w:val="28"/>
          <w:szCs w:val="28"/>
        </w:rPr>
        <w:t xml:space="preserve">целях </w:t>
      </w:r>
      <w:r w:rsidR="00B71006">
        <w:rPr>
          <w:rFonts w:ascii="Times New Roman" w:hAnsi="Times New Roman"/>
          <w:sz w:val="28"/>
          <w:szCs w:val="28"/>
        </w:rPr>
        <w:t>рас</w:t>
      </w:r>
      <w:r w:rsidR="00630B8F">
        <w:rPr>
          <w:rFonts w:ascii="Times New Roman" w:hAnsi="Times New Roman"/>
          <w:sz w:val="28"/>
          <w:szCs w:val="28"/>
        </w:rPr>
        <w:t>пределени</w:t>
      </w:r>
      <w:r w:rsidR="00D27E0D">
        <w:rPr>
          <w:rFonts w:ascii="Times New Roman" w:hAnsi="Times New Roman"/>
          <w:sz w:val="28"/>
          <w:szCs w:val="28"/>
        </w:rPr>
        <w:t>я</w:t>
      </w:r>
      <w:r w:rsidR="00B71006">
        <w:rPr>
          <w:rFonts w:ascii="Times New Roman" w:hAnsi="Times New Roman"/>
          <w:sz w:val="28"/>
          <w:szCs w:val="28"/>
        </w:rPr>
        <w:t xml:space="preserve"> иных</w:t>
      </w:r>
      <w:r>
        <w:rPr>
          <w:rFonts w:ascii="Times New Roman" w:hAnsi="Times New Roman"/>
          <w:sz w:val="28"/>
          <w:szCs w:val="28"/>
        </w:rPr>
        <w:t xml:space="preserve"> межбюджетны</w:t>
      </w:r>
      <w:r w:rsidR="00B7100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трансферт</w:t>
      </w:r>
      <w:r w:rsidR="00B7100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06">
        <w:rPr>
          <w:rFonts w:ascii="Times New Roman" w:hAnsi="Times New Roman"/>
          <w:sz w:val="28"/>
          <w:szCs w:val="28"/>
        </w:rPr>
        <w:t>учитываются поступления в консолидированный бюджет муниципального района (бюджет городского округа)</w:t>
      </w:r>
      <w:r>
        <w:rPr>
          <w:rFonts w:ascii="Times New Roman" w:hAnsi="Times New Roman"/>
          <w:sz w:val="28"/>
          <w:szCs w:val="28"/>
        </w:rPr>
        <w:t>: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с доходов, источником которых является налоговый агент, без учета поступлений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  <w:t>на выравнивание бюджетной обеспеченности муниципальных районов (городских округов);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упрощенной системы налогообложения;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патентной системы налогообложения.</w:t>
      </w:r>
    </w:p>
    <w:p w:rsidR="00A7068D" w:rsidRDefault="00B71006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. </w:t>
      </w:r>
      <w:r w:rsidR="00246F91">
        <w:rPr>
          <w:rFonts w:ascii="Times New Roman" w:hAnsi="Times New Roman"/>
          <w:sz w:val="28"/>
          <w:szCs w:val="28"/>
        </w:rPr>
        <w:t>Прирост поступлений по</w:t>
      </w:r>
      <w:r w:rsidR="00A7068D" w:rsidRPr="00754697">
        <w:rPr>
          <w:rFonts w:ascii="Times New Roman" w:hAnsi="Times New Roman"/>
          <w:sz w:val="28"/>
          <w:szCs w:val="28"/>
        </w:rPr>
        <w:t xml:space="preserve"> </w:t>
      </w:r>
      <w:r w:rsidR="00A7068D" w:rsidRPr="00754697">
        <w:rPr>
          <w:rFonts w:ascii="Times New Roman" w:hAnsi="Times New Roman"/>
          <w:sz w:val="28"/>
          <w:szCs w:val="28"/>
          <w:lang w:val="en-US"/>
        </w:rPr>
        <w:t>i</w:t>
      </w:r>
      <w:r w:rsidR="00A7068D" w:rsidRPr="00754697">
        <w:rPr>
          <w:rFonts w:ascii="Times New Roman" w:hAnsi="Times New Roman"/>
          <w:sz w:val="28"/>
          <w:szCs w:val="28"/>
        </w:rPr>
        <w:t xml:space="preserve">-му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>муниципальному району (городскому округу) рассчитыва</w:t>
      </w:r>
      <w:r w:rsidR="00A7068D" w:rsidRPr="00754697">
        <w:rPr>
          <w:rFonts w:ascii="Times New Roman" w:hAnsi="Times New Roman"/>
          <w:sz w:val="28"/>
          <w:szCs w:val="28"/>
        </w:rPr>
        <w:t>ется по следующей формуле:</w:t>
      </w:r>
    </w:p>
    <w:p w:rsidR="009C7C44" w:rsidRDefault="009C7C44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006" w:rsidRPr="00754697" w:rsidRDefault="00123CA4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38.4pt;margin-top:14.2pt;width:131.85pt;height:46.2pt;z-index:251663360;mso-position-horizontal-relative:text;mso-position-vertical-relative:text">
            <v:imagedata r:id="rId8" o:title=""/>
          </v:shape>
          <o:OLEObject Type="Embed" ProgID="Equation.3" ShapeID="_x0000_s1037" DrawAspect="Content" ObjectID="_1604479309" r:id="rId9"/>
        </w:pict>
      </w:r>
    </w:p>
    <w:p w:rsidR="00A7068D" w:rsidRPr="00754697" w:rsidRDefault="00876B19" w:rsidP="00876B19">
      <w:pPr>
        <w:pStyle w:val="ConsPlusNormal"/>
        <w:spacing w:before="12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7068D" w:rsidRPr="00754697">
        <w:rPr>
          <w:rFonts w:ascii="Times New Roman" w:hAnsi="Times New Roman" w:cs="Times New Roman"/>
          <w:sz w:val="28"/>
          <w:szCs w:val="28"/>
        </w:rPr>
        <w:t>, где:</w:t>
      </w:r>
    </w:p>
    <w:p w:rsidR="00A7068D" w:rsidRPr="00754697" w:rsidRDefault="00123CA4" w:rsidP="00107AD8">
      <w:pPr>
        <w:pStyle w:val="ConsPlusNormal"/>
        <w:tabs>
          <w:tab w:val="left" w:pos="1276"/>
          <w:tab w:val="left" w:pos="1418"/>
        </w:tabs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6" type="#_x0000_t75" style="position:absolute;left:0;text-align:left;margin-left:33.7pt;margin-top:50.7pt;width:35.45pt;height:20.95pt;z-index:251672576;mso-position-horizontal-relative:text;mso-position-vertical-relative:text" o:preferrelative="f">
            <v:imagedata r:id="rId10" o:title=""/>
            <o:lock v:ext="edit" aspectratio="f"/>
          </v:shape>
          <o:OLEObject Type="Embed" ProgID="Equation.3" ShapeID="_x0000_s1046" DrawAspect="Content" ObjectID="_1604479310" r:id="rId11"/>
        </w:pict>
      </w:r>
      <w:r>
        <w:rPr>
          <w:noProof/>
        </w:rPr>
        <w:pict>
          <v:shape id="_x0000_s1041" type="#_x0000_t75" style="position:absolute;left:0;text-align:left;margin-left:82.1pt;margin-top:50.7pt;width:6.2pt;height:10.8pt;z-index:251669504;mso-position-horizontal-relative:text;mso-position-vertical-relative:text">
            <v:imagedata r:id="rId12" o:title=""/>
          </v:shape>
          <o:OLEObject Type="Embed" ProgID="Equation.3" ShapeID="_x0000_s1041" DrawAspect="Content" ObjectID="_1604479311" r:id="rId13"/>
        </w:pict>
      </w:r>
      <w:r>
        <w:rPr>
          <w:noProof/>
        </w:rPr>
        <w:pict>
          <v:shape id="_x0000_s1040" type="#_x0000_t75" style="position:absolute;left:0;text-align:left;margin-left:82.1pt;margin-top:50.7pt;width:6.2pt;height:10.8pt;z-index:251668480;mso-position-horizontal-relative:text;mso-position-vertical-relative:text">
            <v:imagedata r:id="rId12" o:title=""/>
          </v:shape>
          <o:OLEObject Type="Embed" ProgID="Equation.3" ShapeID="_x0000_s1040" DrawAspect="Content" ObjectID="_1604479312" r:id="rId14"/>
        </w:pict>
      </w:r>
      <w:r>
        <w:rPr>
          <w:noProof/>
        </w:rPr>
        <w:pict>
          <v:shape id="_x0000_s1039" type="#_x0000_t75" style="position:absolute;left:0;text-align:left;margin-left:33.7pt;margin-top:5.65pt;width:16.4pt;height:18.35pt;z-index:251667456;mso-position-horizontal-relative:text;mso-position-vertical-relative:text" o:preferrelative="f">
            <v:imagedata r:id="rId15" o:title=""/>
            <o:lock v:ext="edit" aspectratio="f"/>
          </v:shape>
          <o:OLEObject Type="Embed" ProgID="Equation.3" ShapeID="_x0000_s1039" DrawAspect="Content" ObjectID="_1604479313" r:id="rId16"/>
        </w:pict>
      </w:r>
      <w:r w:rsidR="00A82C5D" w:rsidRPr="00A82C5D">
        <w:rPr>
          <w:rFonts w:ascii="Times New Roman" w:hAnsi="Times New Roman" w:cs="Times New Roman"/>
          <w:sz w:val="28"/>
          <w:szCs w:val="28"/>
        </w:rPr>
        <w:t xml:space="preserve"> </w:t>
      </w:r>
      <w:r w:rsidR="00C810C4" w:rsidRPr="00C810C4">
        <w:rPr>
          <w:rFonts w:ascii="Times New Roman" w:hAnsi="Times New Roman" w:cs="Times New Roman"/>
          <w:sz w:val="28"/>
          <w:szCs w:val="28"/>
        </w:rPr>
        <w:t xml:space="preserve">   </w:t>
      </w:r>
      <w:r w:rsidR="00466971">
        <w:rPr>
          <w:rFonts w:ascii="Times New Roman" w:hAnsi="Times New Roman" w:cs="Times New Roman"/>
          <w:sz w:val="28"/>
          <w:szCs w:val="28"/>
        </w:rPr>
        <w:t> 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246F91">
        <w:rPr>
          <w:rFonts w:ascii="Times New Roman" w:eastAsiaTheme="minorEastAsia" w:hAnsi="Times New Roman" w:cs="Times New Roman"/>
          <w:sz w:val="28"/>
          <w:szCs w:val="28"/>
        </w:rPr>
        <w:t>прирост поступлений по</w:t>
      </w:r>
      <w:r w:rsidR="00A7068D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i-му муниципальному району (городскому округу);</w:t>
      </w:r>
    </w:p>
    <w:p w:rsidR="00A7068D" w:rsidRDefault="00123CA4" w:rsidP="004D02DB">
      <w:pPr>
        <w:tabs>
          <w:tab w:val="left" w:pos="709"/>
          <w:tab w:val="left" w:pos="1701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8" type="#_x0000_t75" style="position:absolute;left:0;text-align:left;margin-left:33.7pt;margin-top:69.5pt;width:46.2pt;height:20.95pt;z-index:251674624;mso-position-horizontal-relative:text;mso-position-vertical-relative:text">
            <v:imagedata r:id="rId17" o:title=""/>
          </v:shape>
          <o:OLEObject Type="Embed" ProgID="Equation.3" ShapeID="_x0000_s1048" DrawAspect="Content" ObjectID="_1604479314" r:id="rId18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9" type="#_x0000_t75" style="position:absolute;left:0;text-align:left;margin-left:94.1pt;margin-top:8.4pt;width:6.2pt;height:10.8pt;z-index:251675648;mso-position-horizontal-relative:text;mso-position-vertical-relative:text">
            <v:imagedata r:id="rId12" o:title=""/>
          </v:shape>
          <o:OLEObject Type="Embed" ProgID="Equation.3" ShapeID="_x0000_s1049" DrawAspect="Content" ObjectID="_1604479315" r:id="rId19"/>
        </w:pict>
      </w:r>
      <w:r w:rsidR="00A7068D" w:rsidRPr="00754697">
        <w:rPr>
          <w:rFonts w:ascii="Times New Roman" w:hAnsi="Times New Roman"/>
          <w:sz w:val="28"/>
          <w:szCs w:val="28"/>
        </w:rPr>
        <w:t xml:space="preserve">  </w:t>
      </w:r>
      <w:r w:rsidR="00B53658">
        <w:rPr>
          <w:rFonts w:ascii="Times New Roman" w:hAnsi="Times New Roman"/>
          <w:sz w:val="28"/>
          <w:szCs w:val="28"/>
        </w:rPr>
        <w:t xml:space="preserve">         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A7068D" w:rsidRPr="00754697">
        <w:rPr>
          <w:rFonts w:ascii="Times New Roman" w:hAnsi="Times New Roman"/>
          <w:sz w:val="28"/>
          <w:szCs w:val="28"/>
        </w:rPr>
        <w:t xml:space="preserve">поступление в консолидированный бюджет </w:t>
      </w:r>
      <w:r w:rsidR="00A03E2A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t>i-го муниципального района (в бюджет i-го городского округа) по j</w:t>
      </w:r>
      <w:r w:rsidR="00D40E64">
        <w:rPr>
          <w:rFonts w:ascii="Times New Roman" w:hAnsi="Times New Roman"/>
          <w:sz w:val="28"/>
          <w:szCs w:val="28"/>
        </w:rPr>
        <w:noBreakHyphen/>
      </w:r>
      <w:r w:rsidR="00A7068D" w:rsidRPr="00754697">
        <w:rPr>
          <w:rFonts w:ascii="Times New Roman" w:hAnsi="Times New Roman"/>
          <w:sz w:val="28"/>
          <w:szCs w:val="28"/>
        </w:rPr>
        <w:t>му налогу за отчетный финансовый год;</w:t>
      </w:r>
    </w:p>
    <w:p w:rsidR="00472E8F" w:rsidRPr="00754697" w:rsidRDefault="00123CA4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45" type="#_x0000_t75" style="position:absolute;left:0;text-align:left;margin-left:33.7pt;margin-top:67.1pt;width:19pt;height:22.7pt;z-index:251671552;mso-position-horizontal-relative:text;mso-position-vertical-relative:text">
            <v:imagedata r:id="rId20" o:title=""/>
          </v:shape>
          <o:OLEObject Type="Embed" ProgID="Equation.3" ShapeID="_x0000_s1045" DrawAspect="Content" ObjectID="_1604479316" r:id="rId21"/>
        </w:pict>
      </w:r>
      <w:r w:rsidR="00EF22D9">
        <w:rPr>
          <w:rFonts w:ascii="Times New Roman" w:hAnsi="Times New Roman"/>
          <w:sz w:val="28"/>
          <w:szCs w:val="28"/>
        </w:rPr>
        <w:t xml:space="preserve">              </w:t>
      </w:r>
      <w:r w:rsidR="00107AD8">
        <w:rPr>
          <w:rFonts w:ascii="Times New Roman" w:hAnsi="Times New Roman"/>
          <w:sz w:val="28"/>
          <w:szCs w:val="28"/>
        </w:rPr>
        <w:t>–</w:t>
      </w:r>
      <w:r w:rsidR="00466971">
        <w:rPr>
          <w:rFonts w:ascii="Times New Roman" w:hAnsi="Times New Roman"/>
          <w:sz w:val="28"/>
          <w:szCs w:val="28"/>
        </w:rPr>
        <w:t> </w:t>
      </w:r>
      <w:r w:rsidR="004D02DB">
        <w:rPr>
          <w:rFonts w:ascii="Times New Roman" w:hAnsi="Times New Roman"/>
          <w:sz w:val="28"/>
          <w:szCs w:val="28"/>
        </w:rPr>
        <w:t>п</w:t>
      </w:r>
      <w:r w:rsidR="00472E8F" w:rsidRPr="00754697">
        <w:rPr>
          <w:rFonts w:ascii="Times New Roman" w:hAnsi="Times New Roman"/>
          <w:sz w:val="28"/>
          <w:szCs w:val="28"/>
        </w:rPr>
        <w:t xml:space="preserve">оступление в консолидированный бюджет </w:t>
      </w:r>
      <w:r w:rsidR="00472E8F">
        <w:rPr>
          <w:rFonts w:ascii="Times New Roman" w:hAnsi="Times New Roman"/>
          <w:sz w:val="28"/>
          <w:szCs w:val="28"/>
        </w:rPr>
        <w:br/>
      </w:r>
      <w:r w:rsidR="00472E8F" w:rsidRPr="00754697">
        <w:rPr>
          <w:rFonts w:ascii="Times New Roman" w:hAnsi="Times New Roman"/>
          <w:sz w:val="28"/>
          <w:szCs w:val="28"/>
        </w:rPr>
        <w:t xml:space="preserve">i-го муниципального района (в бюджет i-го городского округа) по j-му налогу за </w:t>
      </w:r>
      <w:r w:rsidR="00472E8F">
        <w:rPr>
          <w:rFonts w:ascii="Times New Roman" w:hAnsi="Times New Roman"/>
          <w:sz w:val="28"/>
          <w:szCs w:val="28"/>
        </w:rPr>
        <w:t xml:space="preserve">предыдущий </w:t>
      </w:r>
      <w:r w:rsidR="00472E8F" w:rsidRPr="00754697">
        <w:rPr>
          <w:rFonts w:ascii="Times New Roman" w:hAnsi="Times New Roman"/>
          <w:sz w:val="28"/>
          <w:szCs w:val="28"/>
        </w:rPr>
        <w:t>финансовый год</w:t>
      </w:r>
      <w:r w:rsidR="00472E8F">
        <w:rPr>
          <w:rFonts w:ascii="Times New Roman" w:hAnsi="Times New Roman"/>
          <w:sz w:val="28"/>
          <w:szCs w:val="28"/>
        </w:rPr>
        <w:t>;</w:t>
      </w:r>
    </w:p>
    <w:p w:rsidR="00A7068D" w:rsidRPr="00754697" w:rsidRDefault="007F72E9" w:rsidP="007F72E9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07AD8">
        <w:rPr>
          <w:rFonts w:ascii="Times New Roman" w:hAnsi="Times New Roman"/>
          <w:sz w:val="28"/>
          <w:szCs w:val="28"/>
        </w:rPr>
        <w:t>–</w:t>
      </w:r>
      <w:r w:rsidR="001A64FF">
        <w:rPr>
          <w:rFonts w:ascii="Times New Roman" w:hAnsi="Times New Roman"/>
          <w:sz w:val="28"/>
          <w:szCs w:val="28"/>
        </w:rPr>
        <w:t> </w:t>
      </w:r>
      <w:r w:rsidR="00A7068D" w:rsidRPr="00754697">
        <w:rPr>
          <w:rFonts w:ascii="Times New Roman" w:hAnsi="Times New Roman"/>
          <w:sz w:val="28"/>
          <w:szCs w:val="28"/>
        </w:rPr>
        <w:t xml:space="preserve">коэффициент роста показателя, характеризующего налоговую базу по j-му налогу </w:t>
      </w:r>
      <w:r w:rsidR="00876B19">
        <w:rPr>
          <w:rFonts w:ascii="Times New Roman" w:hAnsi="Times New Roman"/>
          <w:sz w:val="28"/>
          <w:szCs w:val="28"/>
        </w:rPr>
        <w:t>в</w:t>
      </w:r>
      <w:r w:rsidR="00A7068D" w:rsidRPr="00754697">
        <w:rPr>
          <w:rFonts w:ascii="Times New Roman" w:hAnsi="Times New Roman"/>
          <w:sz w:val="28"/>
          <w:szCs w:val="28"/>
        </w:rPr>
        <w:t xml:space="preserve"> отчетн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финансов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год</w:t>
      </w:r>
      <w:r w:rsidR="00876B19">
        <w:rPr>
          <w:rFonts w:ascii="Times New Roman" w:hAnsi="Times New Roman"/>
          <w:sz w:val="28"/>
          <w:szCs w:val="28"/>
        </w:rPr>
        <w:t>у</w:t>
      </w:r>
      <w:r w:rsidR="00A7068D" w:rsidRPr="00754697">
        <w:rPr>
          <w:rFonts w:ascii="Times New Roman" w:hAnsi="Times New Roman"/>
          <w:sz w:val="28"/>
          <w:szCs w:val="28"/>
        </w:rPr>
        <w:t xml:space="preserve"> к предыдущему финансовому году (фонд оплаты труда, индекс потребительских цен, коэффициент-дефлятор</w:t>
      </w:r>
      <w:r w:rsidR="00A7068D" w:rsidRPr="00754697">
        <w:rPr>
          <w:rFonts w:ascii="Times New Roman" w:eastAsiaTheme="minorHAnsi" w:hAnsi="Times New Roman"/>
          <w:sz w:val="28"/>
          <w:szCs w:val="28"/>
        </w:rPr>
        <w:t>, устанавливаемый в целях применения главы 26.5 «Патентная система налогообложения» Налогового кодекса Российской Федерации</w:t>
      </w:r>
      <w:r w:rsidR="00A7068D" w:rsidRPr="00754697">
        <w:rPr>
          <w:rFonts w:ascii="Times New Roman" w:hAnsi="Times New Roman"/>
          <w:sz w:val="28"/>
          <w:szCs w:val="28"/>
        </w:rPr>
        <w:t>).</w:t>
      </w:r>
    </w:p>
    <w:p w:rsidR="00A7068D" w:rsidRDefault="00D27E0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A7068D" w:rsidRPr="00754697">
        <w:rPr>
          <w:rFonts w:ascii="Times New Roman" w:hAnsi="Times New Roman"/>
          <w:sz w:val="28"/>
          <w:szCs w:val="28"/>
        </w:rPr>
        <w:t xml:space="preserve"> </w:t>
      </w:r>
      <w:r w:rsidR="00246F91">
        <w:rPr>
          <w:rFonts w:ascii="Times New Roman" w:hAnsi="Times New Roman"/>
          <w:sz w:val="28"/>
          <w:szCs w:val="28"/>
        </w:rPr>
        <w:t>распределени</w:t>
      </w:r>
      <w:r>
        <w:rPr>
          <w:rFonts w:ascii="Times New Roman" w:hAnsi="Times New Roman"/>
          <w:sz w:val="28"/>
          <w:szCs w:val="28"/>
        </w:rPr>
        <w:t>я</w:t>
      </w:r>
      <w:r w:rsidR="00A7068D" w:rsidRPr="00754697">
        <w:rPr>
          <w:rFonts w:ascii="Times New Roman" w:hAnsi="Times New Roman"/>
          <w:sz w:val="28"/>
          <w:szCs w:val="28"/>
        </w:rPr>
        <w:t xml:space="preserve"> иных межбюджетных трансфертов применяются положительные значения.</w:t>
      </w:r>
    </w:p>
    <w:p w:rsidR="00246F91" w:rsidRDefault="00246F91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6697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Распределение иных межбюджетных трансфертов между муниципальными районами (городскими округами) осуществляется пропорционально достигнутому приросту поступлений.</w:t>
      </w:r>
    </w:p>
    <w:p w:rsidR="009D7264" w:rsidRDefault="00A7068D" w:rsidP="000C4045">
      <w:pPr>
        <w:spacing w:before="480" w:after="0" w:line="240" w:lineRule="auto"/>
        <w:jc w:val="center"/>
      </w:pPr>
      <w:r w:rsidRPr="00754697">
        <w:rPr>
          <w:rFonts w:ascii="Times New Roman" w:hAnsi="Times New Roman"/>
          <w:sz w:val="28"/>
          <w:szCs w:val="28"/>
          <w:lang w:val="en-US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B71006">
      <w:headerReference w:type="default" r:id="rId22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CA4" w:rsidRDefault="00123CA4" w:rsidP="00B71006">
      <w:pPr>
        <w:spacing w:after="0" w:line="240" w:lineRule="auto"/>
      </w:pPr>
      <w:r>
        <w:separator/>
      </w:r>
    </w:p>
  </w:endnote>
  <w:endnote w:type="continuationSeparator" w:id="0">
    <w:p w:rsidR="00123CA4" w:rsidRDefault="00123CA4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CA4" w:rsidRDefault="00123CA4" w:rsidP="00B71006">
      <w:pPr>
        <w:spacing w:after="0" w:line="240" w:lineRule="auto"/>
      </w:pPr>
      <w:r>
        <w:separator/>
      </w:r>
    </w:p>
  </w:footnote>
  <w:footnote w:type="continuationSeparator" w:id="0">
    <w:p w:rsidR="00123CA4" w:rsidRDefault="00123CA4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5A12E6">
          <w:rPr>
            <w:rFonts w:ascii="Times New Roman" w:hAnsi="Times New Roman"/>
            <w:noProof/>
            <w:sz w:val="24"/>
            <w:szCs w:val="24"/>
          </w:rPr>
          <w:t>2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8D"/>
    <w:rsid w:val="000C4045"/>
    <w:rsid w:val="000E6A2E"/>
    <w:rsid w:val="00106547"/>
    <w:rsid w:val="00107AD8"/>
    <w:rsid w:val="00123CA4"/>
    <w:rsid w:val="001652B6"/>
    <w:rsid w:val="001A64FF"/>
    <w:rsid w:val="002040D5"/>
    <w:rsid w:val="00246F91"/>
    <w:rsid w:val="002C5905"/>
    <w:rsid w:val="002D5D61"/>
    <w:rsid w:val="003722F1"/>
    <w:rsid w:val="00437B65"/>
    <w:rsid w:val="00456E0F"/>
    <w:rsid w:val="00466971"/>
    <w:rsid w:val="00472E8F"/>
    <w:rsid w:val="004D02DB"/>
    <w:rsid w:val="004D3F89"/>
    <w:rsid w:val="005A12E6"/>
    <w:rsid w:val="005C4972"/>
    <w:rsid w:val="005E7891"/>
    <w:rsid w:val="00630B8F"/>
    <w:rsid w:val="0065252D"/>
    <w:rsid w:val="00744795"/>
    <w:rsid w:val="007F72E9"/>
    <w:rsid w:val="00807EF5"/>
    <w:rsid w:val="008433E6"/>
    <w:rsid w:val="00876B19"/>
    <w:rsid w:val="00930069"/>
    <w:rsid w:val="009B26FE"/>
    <w:rsid w:val="009C7C44"/>
    <w:rsid w:val="009D7264"/>
    <w:rsid w:val="00A03E2A"/>
    <w:rsid w:val="00A7068D"/>
    <w:rsid w:val="00A70703"/>
    <w:rsid w:val="00A82C5D"/>
    <w:rsid w:val="00AB08F2"/>
    <w:rsid w:val="00B279DC"/>
    <w:rsid w:val="00B3360C"/>
    <w:rsid w:val="00B53658"/>
    <w:rsid w:val="00B71006"/>
    <w:rsid w:val="00C354ED"/>
    <w:rsid w:val="00C810C4"/>
    <w:rsid w:val="00CD71F3"/>
    <w:rsid w:val="00D27E0D"/>
    <w:rsid w:val="00D40E64"/>
    <w:rsid w:val="00D80B58"/>
    <w:rsid w:val="00D84947"/>
    <w:rsid w:val="00E47180"/>
    <w:rsid w:val="00E963EB"/>
    <w:rsid w:val="00EB0BC3"/>
    <w:rsid w:val="00EF22D9"/>
    <w:rsid w:val="00F9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5006-0BBD-4FAA-AC81-356A2D25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25</cp:revision>
  <cp:lastPrinted>2018-11-19T12:17:00Z</cp:lastPrinted>
  <dcterms:created xsi:type="dcterms:W3CDTF">2018-10-08T10:14:00Z</dcterms:created>
  <dcterms:modified xsi:type="dcterms:W3CDTF">2018-11-23T08:55:00Z</dcterms:modified>
</cp:coreProperties>
</file>